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6FFEB"/>
  <w:body>
    <w:p w:rsidR="00E24ED2" w:rsidRDefault="00162EDF" w:rsidP="00E24ED2">
      <w:pPr>
        <w:pStyle w:val="NoSpacing"/>
        <w:rPr>
          <w:b/>
          <w:sz w:val="24"/>
          <w:szCs w:val="24"/>
          <w:lang w:val="en-GB"/>
        </w:rPr>
      </w:pPr>
      <w:r w:rsidRPr="000A67D7">
        <w:rPr>
          <w:b/>
          <w:sz w:val="28"/>
          <w:szCs w:val="28"/>
          <w:lang w:val="en-GB"/>
        </w:rPr>
        <w:t>Reading Abbey Timeline</w:t>
      </w:r>
    </w:p>
    <w:p w:rsidR="00E24ED2" w:rsidRDefault="00E24ED2" w:rsidP="00E24ED2">
      <w:pPr>
        <w:pStyle w:val="NoSpacing"/>
        <w:rPr>
          <w:b/>
          <w:sz w:val="24"/>
          <w:szCs w:val="24"/>
          <w:lang w:val="en-GB"/>
        </w:rPr>
      </w:pPr>
    </w:p>
    <w:p w:rsidR="00E24ED2" w:rsidRPr="00E24ED2" w:rsidRDefault="00E24ED2" w:rsidP="00E24ED2">
      <w:pPr>
        <w:pStyle w:val="NoSpacing"/>
        <w:rPr>
          <w:b/>
          <w:sz w:val="24"/>
          <w:szCs w:val="24"/>
          <w:lang w:val="en-GB"/>
        </w:rPr>
      </w:pPr>
    </w:p>
    <w:p w:rsidR="00D13E64" w:rsidRPr="00602838" w:rsidRDefault="00E24ED2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870-871  Viking arm</w:t>
      </w:r>
      <w:r w:rsidR="00D13E64" w:rsidRPr="00602838">
        <w:rPr>
          <w:sz w:val="24"/>
          <w:szCs w:val="24"/>
          <w:lang w:val="en-GB"/>
        </w:rPr>
        <w:t>y encampment – first record of Reading as a Royal town</w:t>
      </w:r>
    </w:p>
    <w:p w:rsidR="00D13E64" w:rsidRPr="00602838" w:rsidRDefault="00D13E64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1086  Royal borough recorded around the Saxon minster church of St Mary</w:t>
      </w:r>
    </w:p>
    <w:p w:rsidR="00162EDF" w:rsidRDefault="00162EDF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 xml:space="preserve">1121  Reading Abbey founded by King </w:t>
      </w:r>
      <w:r w:rsidR="000A67D7" w:rsidRPr="00602838">
        <w:rPr>
          <w:sz w:val="24"/>
          <w:szCs w:val="24"/>
          <w:lang w:val="en-GB"/>
        </w:rPr>
        <w:t>H</w:t>
      </w:r>
      <w:r w:rsidRPr="00602838">
        <w:rPr>
          <w:sz w:val="24"/>
          <w:szCs w:val="24"/>
          <w:lang w:val="en-GB"/>
        </w:rPr>
        <w:t>enry I, endowed with land across Britain and religious relics, chiefly the hand of St James the Apostle</w:t>
      </w:r>
    </w:p>
    <w:p w:rsidR="00134163" w:rsidRPr="00602838" w:rsidRDefault="00134163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1125  Secular functions of the Abbey include the embryo Reading School</w:t>
      </w:r>
    </w:p>
    <w:p w:rsidR="00162EDF" w:rsidRPr="00602838" w:rsidRDefault="00162EDF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1136  Henry I buried in front of the High Altar</w:t>
      </w:r>
    </w:p>
    <w:p w:rsidR="00162EDF" w:rsidRPr="00602838" w:rsidRDefault="00162EDF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1164  Abbey church consecrated by Archbishop Thom</w:t>
      </w:r>
      <w:r w:rsidR="00E24ED2">
        <w:rPr>
          <w:sz w:val="24"/>
          <w:szCs w:val="24"/>
          <w:lang w:val="en-GB"/>
        </w:rPr>
        <w:t>a</w:t>
      </w:r>
      <w:r w:rsidRPr="00602838">
        <w:rPr>
          <w:sz w:val="24"/>
          <w:szCs w:val="24"/>
          <w:lang w:val="en-GB"/>
        </w:rPr>
        <w:t>s Becket in the presence of Henry II</w:t>
      </w:r>
    </w:p>
    <w:p w:rsidR="00162EDF" w:rsidRPr="00602838" w:rsidRDefault="00162EDF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1185  Henry II receives Heraclius, patriarch of Jerusalem at the Abbey</w:t>
      </w:r>
    </w:p>
    <w:p w:rsidR="00162EDF" w:rsidRPr="00602838" w:rsidRDefault="00162EDF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 xml:space="preserve">About 1240, ‘Sumer is </w:t>
      </w:r>
      <w:proofErr w:type="spellStart"/>
      <w:r w:rsidRPr="00602838">
        <w:rPr>
          <w:sz w:val="24"/>
          <w:szCs w:val="24"/>
          <w:lang w:val="en-GB"/>
        </w:rPr>
        <w:t>icumen</w:t>
      </w:r>
      <w:proofErr w:type="spellEnd"/>
      <w:r w:rsidRPr="00602838">
        <w:rPr>
          <w:sz w:val="24"/>
          <w:szCs w:val="24"/>
          <w:lang w:val="en-GB"/>
        </w:rPr>
        <w:t xml:space="preserve"> in’, the earliest known Englis</w:t>
      </w:r>
      <w:r w:rsidR="000A67D7" w:rsidRPr="00602838">
        <w:rPr>
          <w:sz w:val="24"/>
          <w:szCs w:val="24"/>
          <w:lang w:val="en-GB"/>
        </w:rPr>
        <w:t>h</w:t>
      </w:r>
      <w:r w:rsidRPr="00602838">
        <w:rPr>
          <w:sz w:val="24"/>
          <w:szCs w:val="24"/>
          <w:lang w:val="en-GB"/>
        </w:rPr>
        <w:t xml:space="preserve"> round written down</w:t>
      </w:r>
    </w:p>
    <w:p w:rsidR="00162EDF" w:rsidRPr="00602838" w:rsidRDefault="00162EDF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1254  Royal charter given to the town</w:t>
      </w:r>
    </w:p>
    <w:p w:rsidR="00162EDF" w:rsidRPr="00602838" w:rsidRDefault="00162EDF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proofErr w:type="gramStart"/>
      <w:r w:rsidRPr="00602838">
        <w:rPr>
          <w:sz w:val="24"/>
          <w:szCs w:val="24"/>
          <w:lang w:val="en-GB"/>
        </w:rPr>
        <w:t xml:space="preserve">1359  </w:t>
      </w:r>
      <w:r w:rsidR="00EB2E39">
        <w:rPr>
          <w:sz w:val="24"/>
          <w:szCs w:val="24"/>
          <w:lang w:val="en-GB"/>
        </w:rPr>
        <w:t>marriage</w:t>
      </w:r>
      <w:proofErr w:type="gramEnd"/>
      <w:r w:rsidR="00EB2E39">
        <w:rPr>
          <w:sz w:val="24"/>
          <w:szCs w:val="24"/>
          <w:lang w:val="en-GB"/>
        </w:rPr>
        <w:t xml:space="preserve"> of John </w:t>
      </w:r>
      <w:r w:rsidR="000A67D7" w:rsidRPr="00602838">
        <w:rPr>
          <w:sz w:val="24"/>
          <w:szCs w:val="24"/>
          <w:lang w:val="en-GB"/>
        </w:rPr>
        <w:t>G</w:t>
      </w:r>
      <w:r w:rsidR="00896B6A" w:rsidRPr="00602838">
        <w:rPr>
          <w:sz w:val="24"/>
          <w:szCs w:val="24"/>
          <w:lang w:val="en-GB"/>
        </w:rPr>
        <w:t xml:space="preserve">aunt and </w:t>
      </w:r>
      <w:r w:rsidR="000A67D7" w:rsidRPr="00602838">
        <w:rPr>
          <w:sz w:val="24"/>
          <w:szCs w:val="24"/>
          <w:lang w:val="en-GB"/>
        </w:rPr>
        <w:t>B</w:t>
      </w:r>
      <w:r w:rsidR="00896B6A" w:rsidRPr="00602838">
        <w:rPr>
          <w:sz w:val="24"/>
          <w:szCs w:val="24"/>
          <w:lang w:val="en-GB"/>
        </w:rPr>
        <w:t>lanche of Lancaster at the Abbey.  Their son was Henry IV, first Lancastrian King of England</w:t>
      </w:r>
    </w:p>
    <w:p w:rsidR="005258AD" w:rsidRPr="00602838" w:rsidRDefault="005258AD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1453  Parliament summoned to meet at Reading by Henry VI</w:t>
      </w:r>
    </w:p>
    <w:p w:rsidR="009E0ABA" w:rsidRPr="00602838" w:rsidRDefault="009E0ABA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1464  Edward IV publicly announces Elizabeth Woodville as his Queen after they secretly marry</w:t>
      </w:r>
    </w:p>
    <w:p w:rsidR="00022A5E" w:rsidRDefault="00022A5E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 xml:space="preserve">1485  Grammar School established by Henry VII in the </w:t>
      </w:r>
      <w:r w:rsidR="00EB2E39">
        <w:rPr>
          <w:sz w:val="24"/>
          <w:szCs w:val="24"/>
          <w:lang w:val="en-GB"/>
        </w:rPr>
        <w:t>R</w:t>
      </w:r>
      <w:r w:rsidRPr="00602838">
        <w:rPr>
          <w:sz w:val="24"/>
          <w:szCs w:val="24"/>
          <w:lang w:val="en-GB"/>
        </w:rPr>
        <w:t xml:space="preserve">efectory of the </w:t>
      </w:r>
      <w:proofErr w:type="spellStart"/>
      <w:r w:rsidRPr="00602838">
        <w:rPr>
          <w:sz w:val="24"/>
          <w:szCs w:val="24"/>
          <w:lang w:val="en-GB"/>
        </w:rPr>
        <w:t>Hospitium</w:t>
      </w:r>
      <w:proofErr w:type="spellEnd"/>
    </w:p>
    <w:p w:rsidR="00134163" w:rsidRPr="00602838" w:rsidRDefault="00134163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1486  Grammar School is reconstituted in the name of King Henry VII</w:t>
      </w:r>
    </w:p>
    <w:p w:rsidR="00022A5E" w:rsidRPr="00602838" w:rsidRDefault="00022A5E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 xml:space="preserve">1539  Dissolution of Abbey by </w:t>
      </w:r>
      <w:r w:rsidR="000A67D7" w:rsidRPr="00602838">
        <w:rPr>
          <w:sz w:val="24"/>
          <w:szCs w:val="24"/>
          <w:lang w:val="en-GB"/>
        </w:rPr>
        <w:t>H</w:t>
      </w:r>
      <w:r w:rsidRPr="00602838">
        <w:rPr>
          <w:sz w:val="24"/>
          <w:szCs w:val="24"/>
          <w:lang w:val="en-GB"/>
        </w:rPr>
        <w:t xml:space="preserve">enry VIII – Abbot Hugh Cook </w:t>
      </w:r>
      <w:proofErr w:type="spellStart"/>
      <w:r w:rsidRPr="00602838">
        <w:rPr>
          <w:sz w:val="24"/>
          <w:szCs w:val="24"/>
          <w:lang w:val="en-GB"/>
        </w:rPr>
        <w:t>Faringdon</w:t>
      </w:r>
      <w:proofErr w:type="spellEnd"/>
      <w:r w:rsidRPr="00602838">
        <w:rPr>
          <w:sz w:val="24"/>
          <w:szCs w:val="24"/>
          <w:lang w:val="en-GB"/>
        </w:rPr>
        <w:t xml:space="preserve"> executed for treason</w:t>
      </w:r>
    </w:p>
    <w:p w:rsidR="00022A5E" w:rsidRPr="00602838" w:rsidRDefault="00022A5E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1557  St Laurence churchyard created</w:t>
      </w:r>
    </w:p>
    <w:p w:rsidR="00022A5E" w:rsidRPr="00602838" w:rsidRDefault="00022A5E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1560  Charter from Elizabeth I, a frequent visitor to Reading staying in her royal residence within the former Abbot’s Lodgings</w:t>
      </w:r>
    </w:p>
    <w:p w:rsidR="00022A5E" w:rsidRPr="00602838" w:rsidRDefault="00022A5E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 xml:space="preserve">1578  Town Hall moves into the </w:t>
      </w:r>
      <w:proofErr w:type="spellStart"/>
      <w:r w:rsidRPr="00602838">
        <w:rPr>
          <w:sz w:val="24"/>
          <w:szCs w:val="24"/>
          <w:lang w:val="en-GB"/>
        </w:rPr>
        <w:t>Hospitium’s</w:t>
      </w:r>
      <w:proofErr w:type="spellEnd"/>
      <w:r w:rsidRPr="00602838">
        <w:rPr>
          <w:sz w:val="24"/>
          <w:szCs w:val="24"/>
          <w:lang w:val="en-GB"/>
        </w:rPr>
        <w:t xml:space="preserve"> refectory, probably in a chamber above the school</w:t>
      </w:r>
    </w:p>
    <w:p w:rsidR="00022A5E" w:rsidRPr="00602838" w:rsidRDefault="00022A5E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 xml:space="preserve">1643  Siege of </w:t>
      </w:r>
      <w:r w:rsidR="00602838">
        <w:rPr>
          <w:sz w:val="24"/>
          <w:szCs w:val="24"/>
          <w:lang w:val="en-GB"/>
        </w:rPr>
        <w:t>R</w:t>
      </w:r>
      <w:r w:rsidRPr="00602838">
        <w:rPr>
          <w:sz w:val="24"/>
          <w:szCs w:val="24"/>
          <w:lang w:val="en-GB"/>
        </w:rPr>
        <w:t>eading – earthwork defences built around Reading</w:t>
      </w:r>
    </w:p>
    <w:p w:rsidR="00022A5E" w:rsidRPr="00602838" w:rsidRDefault="00602838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1688  ‘The R</w:t>
      </w:r>
      <w:r w:rsidR="00022A5E" w:rsidRPr="00602838">
        <w:rPr>
          <w:sz w:val="24"/>
          <w:szCs w:val="24"/>
          <w:lang w:val="en-GB"/>
        </w:rPr>
        <w:t xml:space="preserve">eading </w:t>
      </w:r>
      <w:r>
        <w:rPr>
          <w:sz w:val="24"/>
          <w:szCs w:val="24"/>
          <w:lang w:val="en-GB"/>
        </w:rPr>
        <w:t>F</w:t>
      </w:r>
      <w:r w:rsidR="00022A5E" w:rsidRPr="00602838">
        <w:rPr>
          <w:sz w:val="24"/>
          <w:szCs w:val="24"/>
          <w:lang w:val="en-GB"/>
        </w:rPr>
        <w:t>ight’ – troops of James II and William III clash in the town’s streets, the only bloodshed of the Glorious Revolution</w:t>
      </w:r>
    </w:p>
    <w:p w:rsidR="00022A5E" w:rsidRPr="00602838" w:rsidRDefault="00022A5E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 xml:space="preserve">1720  A mob led by Mayor </w:t>
      </w:r>
      <w:r w:rsidR="00602838">
        <w:rPr>
          <w:sz w:val="24"/>
          <w:szCs w:val="24"/>
          <w:lang w:val="en-GB"/>
        </w:rPr>
        <w:t>R</w:t>
      </w:r>
      <w:r w:rsidRPr="00602838">
        <w:rPr>
          <w:sz w:val="24"/>
          <w:szCs w:val="24"/>
          <w:lang w:val="en-GB"/>
        </w:rPr>
        <w:t xml:space="preserve">obert </w:t>
      </w:r>
      <w:r w:rsidR="00602838">
        <w:rPr>
          <w:sz w:val="24"/>
          <w:szCs w:val="24"/>
          <w:lang w:val="en-GB"/>
        </w:rPr>
        <w:t>B</w:t>
      </w:r>
      <w:r w:rsidRPr="00602838">
        <w:rPr>
          <w:sz w:val="24"/>
          <w:szCs w:val="24"/>
          <w:lang w:val="en-GB"/>
        </w:rPr>
        <w:t>lake (Blake’s Cottages commemorates his wharf) destroys canal works on the Kennet Navigation, fearing loss of trade</w:t>
      </w:r>
    </w:p>
    <w:p w:rsidR="00022A5E" w:rsidRPr="00602838" w:rsidRDefault="00022A5E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1776  first antiquarian survey of Abbey Ruins</w:t>
      </w:r>
    </w:p>
    <w:p w:rsidR="00022A5E" w:rsidRPr="00602838" w:rsidRDefault="00022A5E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1785  Jane Austen and her sister Cassandra attend school in Abbey Gateway</w:t>
      </w:r>
    </w:p>
    <w:p w:rsidR="00022A5E" w:rsidRPr="00602838" w:rsidRDefault="00022A5E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proofErr w:type="gramStart"/>
      <w:r w:rsidRPr="00602838">
        <w:rPr>
          <w:sz w:val="24"/>
          <w:szCs w:val="24"/>
          <w:lang w:val="en-GB"/>
        </w:rPr>
        <w:t xml:space="preserve">1786  </w:t>
      </w:r>
      <w:r w:rsidR="00134163">
        <w:rPr>
          <w:sz w:val="24"/>
          <w:szCs w:val="24"/>
          <w:lang w:val="en-GB"/>
        </w:rPr>
        <w:t>Reading</w:t>
      </w:r>
      <w:proofErr w:type="gramEnd"/>
      <w:r w:rsidR="00134163">
        <w:rPr>
          <w:sz w:val="24"/>
          <w:szCs w:val="24"/>
          <w:lang w:val="en-GB"/>
        </w:rPr>
        <w:t xml:space="preserve"> Corporation moves from the </w:t>
      </w:r>
      <w:proofErr w:type="spellStart"/>
      <w:r w:rsidR="00134163">
        <w:rPr>
          <w:sz w:val="24"/>
          <w:szCs w:val="24"/>
          <w:lang w:val="en-GB"/>
        </w:rPr>
        <w:t>Hospitium</w:t>
      </w:r>
      <w:proofErr w:type="spellEnd"/>
      <w:r w:rsidR="00134163">
        <w:rPr>
          <w:sz w:val="24"/>
          <w:szCs w:val="24"/>
          <w:lang w:val="en-GB"/>
        </w:rPr>
        <w:t xml:space="preserve"> Refectory to the newly opened </w:t>
      </w:r>
      <w:r w:rsidRPr="00602838">
        <w:rPr>
          <w:sz w:val="24"/>
          <w:szCs w:val="24"/>
          <w:lang w:val="en-GB"/>
        </w:rPr>
        <w:t xml:space="preserve">Georgian Town Hall </w:t>
      </w:r>
      <w:r w:rsidR="00134163">
        <w:rPr>
          <w:sz w:val="24"/>
          <w:szCs w:val="24"/>
          <w:lang w:val="en-GB"/>
        </w:rPr>
        <w:t xml:space="preserve">built next to it.  Reading School moves from the </w:t>
      </w:r>
      <w:proofErr w:type="spellStart"/>
      <w:r w:rsidR="00134163">
        <w:rPr>
          <w:sz w:val="24"/>
          <w:szCs w:val="24"/>
          <w:lang w:val="en-GB"/>
        </w:rPr>
        <w:t>Hospitium</w:t>
      </w:r>
      <w:proofErr w:type="spellEnd"/>
      <w:r w:rsidR="00134163">
        <w:rPr>
          <w:sz w:val="24"/>
          <w:szCs w:val="24"/>
          <w:lang w:val="en-GB"/>
        </w:rPr>
        <w:t xml:space="preserve"> Refectory to new school building in The </w:t>
      </w:r>
      <w:proofErr w:type="spellStart"/>
      <w:r w:rsidR="00134163">
        <w:rPr>
          <w:sz w:val="24"/>
          <w:szCs w:val="24"/>
          <w:lang w:val="en-GB"/>
        </w:rPr>
        <w:t>Forbury</w:t>
      </w:r>
      <w:proofErr w:type="spellEnd"/>
      <w:r w:rsidR="00134163">
        <w:rPr>
          <w:sz w:val="24"/>
          <w:szCs w:val="24"/>
          <w:lang w:val="en-GB"/>
        </w:rPr>
        <w:t xml:space="preserve">. </w:t>
      </w:r>
      <w:r w:rsidR="000E14B0">
        <w:rPr>
          <w:sz w:val="24"/>
          <w:szCs w:val="24"/>
          <w:lang w:val="en-GB"/>
        </w:rPr>
        <w:t xml:space="preserve"> </w:t>
      </w:r>
      <w:r w:rsidRPr="00602838">
        <w:rPr>
          <w:sz w:val="24"/>
          <w:szCs w:val="24"/>
          <w:lang w:val="en-GB"/>
        </w:rPr>
        <w:t xml:space="preserve">House of Correction built in the </w:t>
      </w:r>
      <w:proofErr w:type="spellStart"/>
      <w:r w:rsidRPr="00602838">
        <w:rPr>
          <w:sz w:val="24"/>
          <w:szCs w:val="24"/>
          <w:lang w:val="en-GB"/>
        </w:rPr>
        <w:t>Forbury</w:t>
      </w:r>
      <w:proofErr w:type="spellEnd"/>
      <w:r w:rsidR="00134163">
        <w:rPr>
          <w:sz w:val="24"/>
          <w:szCs w:val="24"/>
          <w:lang w:val="en-GB"/>
        </w:rPr>
        <w:t>.</w:t>
      </w:r>
    </w:p>
    <w:p w:rsidR="00022A5E" w:rsidRPr="00602838" w:rsidRDefault="00022A5E" w:rsidP="00162EDF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1791  St Laurence’s churchyard enlarged</w:t>
      </w:r>
    </w:p>
    <w:p w:rsidR="00022A5E" w:rsidRPr="00602838" w:rsidRDefault="00022A5E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 xml:space="preserve">1793  enlarged County Gaol opens in the </w:t>
      </w:r>
      <w:proofErr w:type="spellStart"/>
      <w:r w:rsidRPr="00602838">
        <w:rPr>
          <w:sz w:val="24"/>
          <w:szCs w:val="24"/>
          <w:lang w:val="en-GB"/>
        </w:rPr>
        <w:t>Forbury</w:t>
      </w:r>
      <w:proofErr w:type="spellEnd"/>
    </w:p>
    <w:p w:rsidR="00022A5E" w:rsidRPr="00602838" w:rsidRDefault="00022A5E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 xml:space="preserve">1804  Simeon Monument designed by John </w:t>
      </w:r>
      <w:proofErr w:type="spellStart"/>
      <w:r w:rsidRPr="00602838">
        <w:rPr>
          <w:sz w:val="24"/>
          <w:szCs w:val="24"/>
          <w:lang w:val="en-GB"/>
        </w:rPr>
        <w:t>Soane</w:t>
      </w:r>
      <w:proofErr w:type="spellEnd"/>
      <w:r w:rsidRPr="00602838">
        <w:rPr>
          <w:sz w:val="24"/>
          <w:szCs w:val="24"/>
          <w:lang w:val="en-GB"/>
        </w:rPr>
        <w:t>, a native of Reading</w:t>
      </w:r>
    </w:p>
    <w:p w:rsidR="009E3024" w:rsidRPr="00602838" w:rsidRDefault="009E3024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1810  Kennet &amp; Avon Canal opens</w:t>
      </w:r>
    </w:p>
    <w:p w:rsidR="009E3024" w:rsidRPr="00602838" w:rsidRDefault="009E3024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1833  Abbey South Transept and Chapter House purchased by public subscription</w:t>
      </w:r>
    </w:p>
    <w:p w:rsidR="00B77067" w:rsidRPr="00602838" w:rsidRDefault="00B77067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lastRenderedPageBreak/>
        <w:t>1837  Suttons’s Seeds opens their premises in Market Place</w:t>
      </w:r>
    </w:p>
    <w:p w:rsidR="009E3024" w:rsidRPr="00602838" w:rsidRDefault="009E3024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 xml:space="preserve">1837-1840  St James Roman Catholic church designed by A.W.N. </w:t>
      </w:r>
      <w:proofErr w:type="spellStart"/>
      <w:r w:rsidRPr="00602838">
        <w:rPr>
          <w:sz w:val="24"/>
          <w:szCs w:val="24"/>
          <w:lang w:val="en-GB"/>
        </w:rPr>
        <w:t>Pugin</w:t>
      </w:r>
      <w:proofErr w:type="spellEnd"/>
    </w:p>
    <w:p w:rsidR="009E3024" w:rsidRPr="00602838" w:rsidRDefault="009E3024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1840  Brunel’s Great Western Railway arrives in Reading</w:t>
      </w:r>
    </w:p>
    <w:p w:rsidR="00B77067" w:rsidRPr="00602838" w:rsidRDefault="00B77067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1841  Huntley &amp; Palmers, world’s biggest biscuit factory opens</w:t>
      </w:r>
    </w:p>
    <w:p w:rsidR="009E3024" w:rsidRPr="00602838" w:rsidRDefault="009E3024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 xml:space="preserve">1842-1844  County Gaol rebuilt by Scott and </w:t>
      </w:r>
      <w:proofErr w:type="spellStart"/>
      <w:r w:rsidRPr="00602838">
        <w:rPr>
          <w:sz w:val="24"/>
          <w:szCs w:val="24"/>
          <w:lang w:val="en-GB"/>
        </w:rPr>
        <w:t>Moffat</w:t>
      </w:r>
      <w:proofErr w:type="spellEnd"/>
    </w:p>
    <w:p w:rsidR="009E3024" w:rsidRPr="00602838" w:rsidRDefault="009E3024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 xml:space="preserve">1856  Public Pleasure </w:t>
      </w:r>
      <w:r w:rsidR="00EB2E39">
        <w:rPr>
          <w:sz w:val="24"/>
          <w:szCs w:val="24"/>
          <w:lang w:val="en-GB"/>
        </w:rPr>
        <w:t>G</w:t>
      </w:r>
      <w:r w:rsidRPr="00602838">
        <w:rPr>
          <w:sz w:val="24"/>
          <w:szCs w:val="24"/>
          <w:lang w:val="en-GB"/>
        </w:rPr>
        <w:t xml:space="preserve">ardens laid out in the east part of the </w:t>
      </w:r>
      <w:proofErr w:type="spellStart"/>
      <w:r w:rsidRPr="00602838">
        <w:rPr>
          <w:sz w:val="24"/>
          <w:szCs w:val="24"/>
          <w:lang w:val="en-GB"/>
        </w:rPr>
        <w:t>Forbury</w:t>
      </w:r>
      <w:proofErr w:type="spellEnd"/>
    </w:p>
    <w:p w:rsidR="009E3024" w:rsidRDefault="009E3024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 xml:space="preserve">1861-1862  Sir George Gilbert Scott restores the </w:t>
      </w:r>
      <w:r w:rsidR="00602838">
        <w:rPr>
          <w:sz w:val="24"/>
          <w:szCs w:val="24"/>
          <w:lang w:val="en-GB"/>
        </w:rPr>
        <w:t>Abbey’s I</w:t>
      </w:r>
      <w:r w:rsidRPr="00602838">
        <w:rPr>
          <w:sz w:val="24"/>
          <w:szCs w:val="24"/>
          <w:lang w:val="en-GB"/>
        </w:rPr>
        <w:t xml:space="preserve">nner </w:t>
      </w:r>
      <w:r w:rsidR="00602838">
        <w:rPr>
          <w:sz w:val="24"/>
          <w:szCs w:val="24"/>
          <w:lang w:val="en-GB"/>
        </w:rPr>
        <w:t>Gateway after its colla</w:t>
      </w:r>
      <w:r w:rsidRPr="00602838">
        <w:rPr>
          <w:sz w:val="24"/>
          <w:szCs w:val="24"/>
          <w:lang w:val="en-GB"/>
        </w:rPr>
        <w:t>p</w:t>
      </w:r>
      <w:r w:rsidR="00602838">
        <w:rPr>
          <w:sz w:val="24"/>
          <w:szCs w:val="24"/>
          <w:lang w:val="en-GB"/>
        </w:rPr>
        <w:t>s</w:t>
      </w:r>
      <w:r w:rsidRPr="00602838">
        <w:rPr>
          <w:sz w:val="24"/>
          <w:szCs w:val="24"/>
          <w:lang w:val="en-GB"/>
        </w:rPr>
        <w:t>e</w:t>
      </w:r>
    </w:p>
    <w:p w:rsidR="00134163" w:rsidRPr="00602838" w:rsidRDefault="00134163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1871  After seven centuries in the Abbey precinct a new </w:t>
      </w:r>
      <w:r w:rsidR="007960A8">
        <w:rPr>
          <w:sz w:val="24"/>
          <w:szCs w:val="24"/>
          <w:lang w:val="en-GB"/>
        </w:rPr>
        <w:t xml:space="preserve">site for Reading School is opened in </w:t>
      </w:r>
      <w:proofErr w:type="spellStart"/>
      <w:r w:rsidR="007960A8">
        <w:rPr>
          <w:sz w:val="24"/>
          <w:szCs w:val="24"/>
          <w:lang w:val="en-GB"/>
        </w:rPr>
        <w:t>Erleigh</w:t>
      </w:r>
      <w:proofErr w:type="spellEnd"/>
      <w:r w:rsidR="007960A8">
        <w:rPr>
          <w:sz w:val="24"/>
          <w:szCs w:val="24"/>
          <w:lang w:val="en-GB"/>
        </w:rPr>
        <w:t xml:space="preserve"> Road</w:t>
      </w:r>
    </w:p>
    <w:p w:rsidR="009E3024" w:rsidRPr="00602838" w:rsidRDefault="009E3024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1875  Town Hall designed by local resident Alfred Waterhouse</w:t>
      </w:r>
    </w:p>
    <w:p w:rsidR="009E3024" w:rsidRPr="00602838" w:rsidRDefault="009E3024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1883  Reading Museum opens to the public</w:t>
      </w:r>
    </w:p>
    <w:p w:rsidR="009E3024" w:rsidRPr="00602838" w:rsidRDefault="009E3024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 xml:space="preserve">1886  </w:t>
      </w:r>
      <w:proofErr w:type="spellStart"/>
      <w:r w:rsidRPr="00602838">
        <w:rPr>
          <w:sz w:val="24"/>
          <w:szCs w:val="24"/>
          <w:lang w:val="en-GB"/>
        </w:rPr>
        <w:t>Maiwand</w:t>
      </w:r>
      <w:proofErr w:type="spellEnd"/>
      <w:r w:rsidRPr="00602838">
        <w:rPr>
          <w:sz w:val="24"/>
          <w:szCs w:val="24"/>
          <w:lang w:val="en-GB"/>
        </w:rPr>
        <w:t xml:space="preserve"> Lion memorial unveiled</w:t>
      </w:r>
    </w:p>
    <w:p w:rsidR="009E3024" w:rsidRPr="00602838" w:rsidRDefault="009E3024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1897  Oscar Wilde leaves Reading Gaol</w:t>
      </w:r>
    </w:p>
    <w:p w:rsidR="009E3024" w:rsidRPr="00602838" w:rsidRDefault="009E3024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1911  Berkshire’s Shire Hall opens</w:t>
      </w:r>
    </w:p>
    <w:p w:rsidR="009E3024" w:rsidRPr="00602838" w:rsidRDefault="009E3024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1915  Abbey becomes a Scheduled Ancient Monument</w:t>
      </w:r>
    </w:p>
    <w:p w:rsidR="009E3024" w:rsidRPr="00602838" w:rsidRDefault="002347BC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1932  World War Memorial unveiled</w:t>
      </w:r>
    </w:p>
    <w:p w:rsidR="002347BC" w:rsidRPr="00602838" w:rsidRDefault="002347BC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1943  Air raid damages Town Hall and St Laurence’s church, killing 41 people</w:t>
      </w:r>
    </w:p>
    <w:p w:rsidR="00B77067" w:rsidRPr="00602838" w:rsidRDefault="00B77067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1962  Sutton’s Seeds vacate</w:t>
      </w:r>
      <w:r w:rsidR="00602838">
        <w:rPr>
          <w:sz w:val="24"/>
          <w:szCs w:val="24"/>
          <w:lang w:val="en-GB"/>
        </w:rPr>
        <w:t>s</w:t>
      </w:r>
      <w:r w:rsidRPr="00602838">
        <w:rPr>
          <w:sz w:val="24"/>
          <w:szCs w:val="24"/>
          <w:lang w:val="en-GB"/>
        </w:rPr>
        <w:t xml:space="preserve"> town cen</w:t>
      </w:r>
      <w:r w:rsidR="00602838">
        <w:rPr>
          <w:sz w:val="24"/>
          <w:szCs w:val="24"/>
          <w:lang w:val="en-GB"/>
        </w:rPr>
        <w:t>tre site and Prudential develop</w:t>
      </w:r>
      <w:r w:rsidRPr="00602838">
        <w:rPr>
          <w:sz w:val="24"/>
          <w:szCs w:val="24"/>
          <w:lang w:val="en-GB"/>
        </w:rPr>
        <w:t xml:space="preserve"> offices on the site</w:t>
      </w:r>
    </w:p>
    <w:p w:rsidR="002347BC" w:rsidRPr="00602838" w:rsidRDefault="002347BC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 xml:space="preserve">2006  </w:t>
      </w:r>
      <w:proofErr w:type="spellStart"/>
      <w:r w:rsidRPr="00602838">
        <w:rPr>
          <w:sz w:val="24"/>
          <w:szCs w:val="24"/>
          <w:lang w:val="en-GB"/>
        </w:rPr>
        <w:t>Forbury</w:t>
      </w:r>
      <w:proofErr w:type="spellEnd"/>
      <w:r w:rsidRPr="00602838">
        <w:rPr>
          <w:sz w:val="24"/>
          <w:szCs w:val="24"/>
          <w:lang w:val="en-GB"/>
        </w:rPr>
        <w:t xml:space="preserve"> Gardens restored with Heritage Lottery Fund support</w:t>
      </w:r>
    </w:p>
    <w:p w:rsidR="00B77067" w:rsidRPr="00602838" w:rsidRDefault="00B77067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2007  Simeon Monument and Market Place restored</w:t>
      </w:r>
    </w:p>
    <w:p w:rsidR="00B77067" w:rsidRDefault="00B77067" w:rsidP="00022A5E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02838">
        <w:rPr>
          <w:sz w:val="24"/>
          <w:szCs w:val="24"/>
          <w:lang w:val="en-GB"/>
        </w:rPr>
        <w:t>2013  Reading Prison closes</w:t>
      </w:r>
    </w:p>
    <w:p w:rsidR="00123C1A" w:rsidRDefault="00123C1A" w:rsidP="00123C1A">
      <w:pPr>
        <w:pStyle w:val="NoSpacing"/>
        <w:rPr>
          <w:sz w:val="24"/>
          <w:szCs w:val="24"/>
          <w:lang w:val="en-GB"/>
        </w:rPr>
      </w:pPr>
    </w:p>
    <w:p w:rsidR="00123C1A" w:rsidRDefault="00123C1A" w:rsidP="00123C1A">
      <w:pPr>
        <w:pStyle w:val="NoSpacing"/>
        <w:rPr>
          <w:sz w:val="24"/>
          <w:szCs w:val="24"/>
          <w:lang w:val="en-GB"/>
        </w:rPr>
      </w:pPr>
    </w:p>
    <w:p w:rsidR="00123C1A" w:rsidRPr="00123C1A" w:rsidRDefault="00123C1A" w:rsidP="00123C1A">
      <w:pPr>
        <w:pStyle w:val="NoSpacing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Compiled by Reading Museum</w:t>
      </w:r>
    </w:p>
    <w:sectPr w:rsidR="00123C1A" w:rsidRPr="00123C1A" w:rsidSect="00090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7BD"/>
    <w:multiLevelType w:val="hybridMultilevel"/>
    <w:tmpl w:val="AA2C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62EDF"/>
    <w:rsid w:val="00022A5E"/>
    <w:rsid w:val="00090B24"/>
    <w:rsid w:val="000A67D7"/>
    <w:rsid w:val="000D0851"/>
    <w:rsid w:val="000E14B0"/>
    <w:rsid w:val="00123C1A"/>
    <w:rsid w:val="00134163"/>
    <w:rsid w:val="00162EDF"/>
    <w:rsid w:val="002347BC"/>
    <w:rsid w:val="0028636A"/>
    <w:rsid w:val="005258AD"/>
    <w:rsid w:val="005E5173"/>
    <w:rsid w:val="00602838"/>
    <w:rsid w:val="007960A8"/>
    <w:rsid w:val="00884F0E"/>
    <w:rsid w:val="00896B6A"/>
    <w:rsid w:val="009560A2"/>
    <w:rsid w:val="00984062"/>
    <w:rsid w:val="009E0ABA"/>
    <w:rsid w:val="009E3024"/>
    <w:rsid w:val="00B77067"/>
    <w:rsid w:val="00C06797"/>
    <w:rsid w:val="00C2073C"/>
    <w:rsid w:val="00CF0B1B"/>
    <w:rsid w:val="00D13E64"/>
    <w:rsid w:val="00E24ED2"/>
    <w:rsid w:val="00EB2E39"/>
    <w:rsid w:val="00F5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c,white,#f6ffeb"/>
      <o:colormenu v:ext="edit" fillcolor="#f6ff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1E"/>
  </w:style>
  <w:style w:type="paragraph" w:styleId="Heading1">
    <w:name w:val="heading 1"/>
    <w:basedOn w:val="Normal"/>
    <w:next w:val="Normal"/>
    <w:link w:val="Heading1Char"/>
    <w:uiPriority w:val="9"/>
    <w:qFormat/>
    <w:rsid w:val="00F5071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71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71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71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71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71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71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71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71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7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7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071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7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7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7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7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7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7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5071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7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71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07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5071E"/>
    <w:rPr>
      <w:b/>
      <w:bCs/>
    </w:rPr>
  </w:style>
  <w:style w:type="character" w:styleId="Emphasis">
    <w:name w:val="Emphasis"/>
    <w:uiPriority w:val="20"/>
    <w:qFormat/>
    <w:rsid w:val="00F507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507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07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07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07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7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71E"/>
    <w:rPr>
      <w:b/>
      <w:bCs/>
      <w:i/>
      <w:iCs/>
    </w:rPr>
  </w:style>
  <w:style w:type="character" w:styleId="SubtleEmphasis">
    <w:name w:val="Subtle Emphasis"/>
    <w:uiPriority w:val="19"/>
    <w:qFormat/>
    <w:rsid w:val="00F5071E"/>
    <w:rPr>
      <w:i/>
      <w:iCs/>
    </w:rPr>
  </w:style>
  <w:style w:type="character" w:styleId="IntenseEmphasis">
    <w:name w:val="Intense Emphasis"/>
    <w:uiPriority w:val="21"/>
    <w:qFormat/>
    <w:rsid w:val="00F5071E"/>
    <w:rPr>
      <w:b/>
      <w:bCs/>
    </w:rPr>
  </w:style>
  <w:style w:type="character" w:styleId="SubtleReference">
    <w:name w:val="Subtle Reference"/>
    <w:uiPriority w:val="31"/>
    <w:qFormat/>
    <w:rsid w:val="00F5071E"/>
    <w:rPr>
      <w:smallCaps/>
    </w:rPr>
  </w:style>
  <w:style w:type="character" w:styleId="IntenseReference">
    <w:name w:val="Intense Reference"/>
    <w:uiPriority w:val="32"/>
    <w:qFormat/>
    <w:rsid w:val="00F5071E"/>
    <w:rPr>
      <w:smallCaps/>
      <w:spacing w:val="5"/>
      <w:u w:val="single"/>
    </w:rPr>
  </w:style>
  <w:style w:type="character" w:styleId="BookTitle">
    <w:name w:val="Book Title"/>
    <w:uiPriority w:val="33"/>
    <w:qFormat/>
    <w:rsid w:val="00F507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71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2014-11-06T17:10:00Z</dcterms:created>
  <dcterms:modified xsi:type="dcterms:W3CDTF">2015-03-01T17:43:00Z</dcterms:modified>
</cp:coreProperties>
</file>